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14BAEB" w:rsidR="001E41F3" w:rsidRPr="00EC60FC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C60FC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60FC" w:rsidRPr="00EC60FC">
        <w:rPr>
          <w:b/>
          <w:noProof/>
          <w:sz w:val="24"/>
        </w:rPr>
        <w:t>110</w:t>
      </w:r>
      <w:r w:rsidR="00525CAF">
        <w:rPr>
          <w:b/>
          <w:noProof/>
          <w:sz w:val="24"/>
        </w:rPr>
        <w:t>b</w:t>
      </w:r>
      <w:r w:rsidR="00396BD8">
        <w:rPr>
          <w:b/>
          <w:noProof/>
          <w:sz w:val="24"/>
        </w:rPr>
        <w:t>-</w:t>
      </w:r>
      <w:r w:rsidR="00525CAF">
        <w:rPr>
          <w:b/>
          <w:noProof/>
          <w:sz w:val="24"/>
        </w:rPr>
        <w:t>e</w:t>
      </w:r>
      <w:r w:rsidRPr="00EC60FC">
        <w:rPr>
          <w:b/>
          <w:noProof/>
          <w:sz w:val="24"/>
        </w:rPr>
        <w:tab/>
      </w:r>
      <w:r w:rsidR="00EC60FC" w:rsidRPr="00EC60FC">
        <w:rPr>
          <w:b/>
          <w:noProof/>
          <w:sz w:val="24"/>
        </w:rPr>
        <w:t>R1-220</w:t>
      </w:r>
      <w:r w:rsidR="00976EE2">
        <w:rPr>
          <w:b/>
          <w:noProof/>
          <w:sz w:val="24"/>
        </w:rPr>
        <w:t>9036</w:t>
      </w:r>
    </w:p>
    <w:p w14:paraId="7CB45193" w14:textId="7AF52FDE" w:rsidR="001E41F3" w:rsidRPr="00525CAF" w:rsidRDefault="00525CAF" w:rsidP="00525CAF">
      <w:pPr>
        <w:spacing w:after="0"/>
        <w:ind w:left="1988" w:hanging="1988"/>
        <w:rPr>
          <w:rFonts w:ascii="Arial" w:hAnsi="Arial" w:cs="Arial"/>
          <w:b/>
          <w:bCs/>
          <w:sz w:val="24"/>
          <w:lang w:val="de-DE"/>
        </w:rPr>
      </w:pPr>
      <w:r w:rsidRPr="00F95AB8">
        <w:rPr>
          <w:rFonts w:ascii="Arial" w:eastAsia="MS Mincho" w:hAnsi="Arial" w:cs="Arial"/>
          <w:b/>
          <w:bCs/>
          <w:sz w:val="24"/>
          <w:szCs w:val="22"/>
          <w:lang w:eastAsia="ja-JP"/>
        </w:rPr>
        <w:t>e-Meeting, October 10</w:t>
      </w:r>
      <w:r w:rsidRPr="00F95AB8">
        <w:rPr>
          <w:rFonts w:ascii="Malgun Gothic" w:eastAsia="Malgun Gothic" w:hAnsi="Malgun Gothic" w:cs="Malgun Gothic" w:hint="eastAsia"/>
          <w:b/>
          <w:bCs/>
          <w:sz w:val="24"/>
          <w:szCs w:val="22"/>
          <w:vertAlign w:val="superscript"/>
          <w:lang w:eastAsia="ko-KR"/>
        </w:rPr>
        <w:t>th</w:t>
      </w:r>
      <w:r w:rsidRPr="00F95AB8">
        <w:rPr>
          <w:rFonts w:ascii="Arial" w:eastAsia="MS Mincho" w:hAnsi="Arial" w:cs="Arial"/>
          <w:b/>
          <w:bCs/>
          <w:sz w:val="24"/>
          <w:szCs w:val="22"/>
          <w:lang w:eastAsia="ja-JP"/>
        </w:rPr>
        <w:t xml:space="preserve"> – 19</w:t>
      </w:r>
      <w:r w:rsidRPr="00F95AB8">
        <w:rPr>
          <w:rFonts w:ascii="Arial" w:eastAsia="MS Mincho" w:hAnsi="Arial" w:cs="Arial"/>
          <w:b/>
          <w:bCs/>
          <w:sz w:val="24"/>
          <w:szCs w:val="22"/>
          <w:vertAlign w:val="superscript"/>
          <w:lang w:eastAsia="ja-JP"/>
        </w:rPr>
        <w:t>th</w:t>
      </w:r>
      <w:r w:rsidRPr="00F95AB8">
        <w:rPr>
          <w:rFonts w:ascii="Arial" w:eastAsia="MS Mincho" w:hAnsi="Arial" w:cs="Arial"/>
          <w:b/>
          <w:bCs/>
          <w:sz w:val="24"/>
          <w:szCs w:val="22"/>
          <w:lang w:eastAsia="ja-JP"/>
        </w:rPr>
        <w:t xml:space="preserve">, </w:t>
      </w:r>
      <w:r w:rsidRPr="002E4C20">
        <w:rPr>
          <w:rFonts w:ascii="Arial" w:hAnsi="Arial" w:cs="Arial"/>
          <w:b/>
          <w:bCs/>
          <w:sz w:val="24"/>
          <w:lang w:val="de-DE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5A683A" w:rsidR="001E41F3" w:rsidRPr="00410371" w:rsidRDefault="00EC60FC" w:rsidP="00EC60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C60FC">
              <w:rPr>
                <w:b/>
                <w:noProof/>
                <w:sz w:val="28"/>
              </w:rPr>
              <w:t>38.21</w:t>
            </w:r>
            <w:r w:rsidR="00A800F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53D0E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9B971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E35F1" w:rsidR="001E41F3" w:rsidRPr="00410371" w:rsidRDefault="00EC60FC" w:rsidP="00EC6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60FC">
              <w:rPr>
                <w:b/>
                <w:noProof/>
                <w:sz w:val="28"/>
              </w:rPr>
              <w:t>17.</w:t>
            </w:r>
            <w:r w:rsidR="00525CAF">
              <w:rPr>
                <w:b/>
                <w:noProof/>
                <w:sz w:val="28"/>
              </w:rPr>
              <w:t>3</w:t>
            </w:r>
            <w:r w:rsidRPr="00EC60F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79E59" w:rsidR="00F25D98" w:rsidRDefault="00EC60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260E5" w:rsidR="00F25D98" w:rsidRDefault="00EC60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15"/>
        <w:gridCol w:w="32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BEE65" w:rsidR="001E41F3" w:rsidRDefault="008B3B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Pr="008B3BF9">
              <w:t xml:space="preserve">on </w:t>
            </w:r>
            <w:r w:rsidR="00C23ABC">
              <w:t>different SCS</w:t>
            </w:r>
            <w:r w:rsidR="00BE33F0">
              <w:t>s</w:t>
            </w:r>
            <w:r w:rsidR="00C23ABC">
              <w:t xml:space="preserve"> between </w:t>
            </w:r>
            <w:r w:rsidR="00C23ABC">
              <w:rPr>
                <w:lang w:eastAsia="zh-CN"/>
              </w:rPr>
              <w:t xml:space="preserve">P(S)Cell and </w:t>
            </w:r>
            <w:proofErr w:type="spellStart"/>
            <w:r w:rsidR="00C23ABC">
              <w:rPr>
                <w:lang w:eastAsia="zh-CN"/>
              </w:rPr>
              <w:t>sSCell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DEEC4C" w:rsidR="001E41F3" w:rsidRDefault="00EC60FC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2F2568" w:rsidR="001E41F3" w:rsidRDefault="00EC60FC" w:rsidP="00547111">
            <w:pPr>
              <w:pStyle w:val="CRCoverPage"/>
              <w:spacing w:after="0"/>
              <w:ind w:left="100"/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909836" w:rsidR="001E41F3" w:rsidRDefault="00686A3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 w:rsidR="00C23ABC">
              <w:t>DSS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1E63E" w:rsidR="001E41F3" w:rsidRDefault="008B3B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25CAF">
              <w:t>10</w:t>
            </w:r>
            <w:r>
              <w:t>-</w:t>
            </w:r>
            <w:r w:rsidR="00525CAF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B3B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15" w:type="dxa"/>
            <w:shd w:val="pct30" w:color="FFFF00" w:fill="auto"/>
          </w:tcPr>
          <w:p w14:paraId="154A6113" w14:textId="60957093" w:rsidR="001E41F3" w:rsidRDefault="008B3B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3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C0F47B" w:rsidR="001E41F3" w:rsidRDefault="008B3B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B3BF9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DCD9C" w14:textId="77777777" w:rsidR="00525CAF" w:rsidRDefault="00516AF5" w:rsidP="00516AF5">
            <w:pPr>
              <w:pStyle w:val="CRCoverPage"/>
              <w:spacing w:after="0"/>
              <w:ind w:left="100"/>
              <w:rPr>
                <w:rFonts w:cs="Times"/>
              </w:rPr>
            </w:pPr>
            <w:r>
              <w:rPr>
                <w:noProof/>
              </w:rPr>
              <w:t xml:space="preserve">NR DSS is specified for the case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w:rPr>
                  <w:rFonts w:ascii="Cambria Math" w:hAnsi="Cambria Math" w:cs="Times"/>
                </w:rPr>
                <m:t>≤</m:t>
              </m:r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</m:oMath>
            <w:r>
              <w:rPr>
                <w:noProof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noProof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</m:oMath>
            <w:r>
              <w:rPr>
                <w:noProof/>
              </w:rPr>
              <w:t xml:space="preserve"> are respetively the </w:t>
            </w:r>
            <w:r>
              <w:rPr>
                <w:rFonts w:cs="Times"/>
              </w:rPr>
              <w:t xml:space="preserve">SCS configuration for the active DL BWP on P(S)Cell and </w:t>
            </w:r>
            <w:proofErr w:type="spellStart"/>
            <w:r>
              <w:rPr>
                <w:rFonts w:cs="Times"/>
              </w:rPr>
              <w:t>sSCell</w:t>
            </w:r>
            <w:proofErr w:type="spellEnd"/>
            <w:r>
              <w:rPr>
                <w:rFonts w:cs="Times"/>
              </w:rPr>
              <w:t xml:space="preserve">. However, </w:t>
            </w:r>
            <m:oMath>
              <m:sSub>
                <m:sSubPr>
                  <m:ctrlPr>
                    <w:rPr>
                      <w:rFonts w:ascii="Cambria Math" w:hAnsi="Cambria Math" w:cs="Times"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</w:rPr>
                <m:t>&gt;</m:t>
              </m:r>
              <m:sSub>
                <m:sSubPr>
                  <m:ctrlPr>
                    <w:rPr>
                      <w:rFonts w:ascii="Cambria Math" w:hAnsi="Cambria Math" w:cs="Times"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</m:oMath>
            <w:r>
              <w:rPr>
                <w:rFonts w:cs="Times"/>
              </w:rPr>
              <w:t xml:space="preserve"> can be valid configuration too. </w:t>
            </w:r>
          </w:p>
          <w:p w14:paraId="22A11E04" w14:textId="77777777" w:rsidR="00525CAF" w:rsidRDefault="00525CAF" w:rsidP="00516AF5">
            <w:pPr>
              <w:pStyle w:val="CRCoverPage"/>
              <w:spacing w:after="0"/>
              <w:ind w:left="100"/>
              <w:rPr>
                <w:rFonts w:cs="Times"/>
              </w:rPr>
            </w:pPr>
          </w:p>
          <w:p w14:paraId="6E8BFF47" w14:textId="77777777" w:rsidR="00525CAF" w:rsidRDefault="00525CAF" w:rsidP="00516AF5">
            <w:pPr>
              <w:pStyle w:val="CRCoverPage"/>
              <w:spacing w:after="0"/>
              <w:ind w:left="100"/>
              <w:rPr>
                <w:rFonts w:cs="Times"/>
              </w:rPr>
            </w:pPr>
            <w:r w:rsidRPr="00525CAF">
              <w:rPr>
                <w:rFonts w:cs="Times"/>
              </w:rPr>
              <w:t xml:space="preserve">If multiple BWPs with different SCSs are configured for P(S)Cell and/or </w:t>
            </w:r>
            <w:proofErr w:type="spellStart"/>
            <w:r w:rsidRPr="00525CAF">
              <w:rPr>
                <w:rFonts w:cs="Times"/>
              </w:rPr>
              <w:t>sSCell</w:t>
            </w:r>
            <w:proofErr w:type="spellEnd"/>
            <w:r w:rsidRPr="00525CAF">
              <w:rPr>
                <w:rFonts w:cs="Times"/>
              </w:rPr>
              <w:t xml:space="preserve">, it is possible that a pair of BWPs on the P(S)Cell and </w:t>
            </w:r>
            <w:proofErr w:type="spellStart"/>
            <w:r w:rsidRPr="00525CAF">
              <w:rPr>
                <w:rFonts w:cs="Times"/>
              </w:rPr>
              <w:t>sSCell</w:t>
            </w:r>
            <w:proofErr w:type="spellEnd"/>
            <w:r w:rsidRPr="00525CAF">
              <w:rPr>
                <w:rFonts w:cs="Times"/>
              </w:rPr>
              <w:t xml:space="preserve"> have </w:t>
            </w:r>
            <m:oMath>
              <m:sSub>
                <m:sSubPr>
                  <m:ctrlPr>
                    <w:rPr>
                      <w:rFonts w:ascii="Cambria Math" w:hAnsi="Cambria Math" w:cs="Times"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</w:rPr>
                <m:t>≤</m:t>
              </m:r>
              <m:sSub>
                <m:sSubPr>
                  <m:ctrlPr>
                    <w:rPr>
                      <w:rFonts w:ascii="Cambria Math" w:hAnsi="Cambria Math" w:cs="Times"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</m:oMath>
            <w:r w:rsidRPr="00525CAF">
              <w:rPr>
                <w:rFonts w:cs="Times"/>
              </w:rPr>
              <w:t xml:space="preserve">, while another pair of BWPs on the P(S)Cell and </w:t>
            </w:r>
            <w:proofErr w:type="spellStart"/>
            <w:r w:rsidRPr="00525CAF">
              <w:rPr>
                <w:rFonts w:cs="Times"/>
              </w:rPr>
              <w:t>sSCell</w:t>
            </w:r>
            <w:proofErr w:type="spellEnd"/>
            <w:r w:rsidRPr="00525CAF">
              <w:rPr>
                <w:rFonts w:cs="Times"/>
              </w:rPr>
              <w:t xml:space="preserve"> have </w:t>
            </w:r>
            <m:oMath>
              <m:sSub>
                <m:sSubPr>
                  <m:ctrlPr>
                    <w:rPr>
                      <w:rFonts w:ascii="Cambria Math" w:hAnsi="Cambria Math" w:cs="Times"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</w:rPr>
                <m:t>&gt;</m:t>
              </m:r>
              <m:sSub>
                <m:sSubPr>
                  <m:ctrlPr>
                    <w:rPr>
                      <w:rFonts w:ascii="Cambria Math" w:hAnsi="Cambria Math" w:cs="Times"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</m:oMath>
            <w:r w:rsidRPr="00525CAF">
              <w:rPr>
                <w:rFonts w:cs="Times"/>
              </w:rPr>
              <w:t xml:space="preserve">. The UE may switch between a combination </w:t>
            </w:r>
            <m:oMath>
              <m:sSub>
                <m:sSubPr>
                  <m:ctrlPr>
                    <w:rPr>
                      <w:rFonts w:ascii="Cambria Math" w:hAnsi="Cambria Math" w:cs="Times"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</w:rPr>
                <m:t>≤</m:t>
              </m:r>
              <m:sSub>
                <m:sSubPr>
                  <m:ctrlPr>
                    <w:rPr>
                      <w:rFonts w:ascii="Cambria Math" w:hAnsi="Cambria Math" w:cs="Times"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</w:rPr>
                <m:t xml:space="preserve"> </m:t>
              </m:r>
            </m:oMath>
            <w:r w:rsidRPr="00525CAF">
              <w:rPr>
                <w:rFonts w:cs="Times"/>
              </w:rPr>
              <w:t xml:space="preserve">and another combination with </w:t>
            </w:r>
            <m:oMath>
              <m:sSub>
                <m:sSubPr>
                  <m:ctrlPr>
                    <w:rPr>
                      <w:rFonts w:ascii="Cambria Math" w:hAnsi="Cambria Math" w:cs="Times"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</w:rPr>
                <m:t>&gt;</m:t>
              </m:r>
              <m:sSub>
                <m:sSubPr>
                  <m:ctrlPr>
                    <w:rPr>
                      <w:rFonts w:ascii="Cambria Math" w:hAnsi="Cambria Math" w:cs="Times"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</m:oMath>
            <w:r w:rsidRPr="00525CAF">
              <w:rPr>
                <w:rFonts w:cs="Times"/>
              </w:rPr>
              <w:t xml:space="preserve">, which can be tiggered by a DCI dynamically. </w:t>
            </w:r>
          </w:p>
          <w:p w14:paraId="591BC525" w14:textId="77777777" w:rsidR="00525CAF" w:rsidRDefault="00525CAF" w:rsidP="00516AF5">
            <w:pPr>
              <w:pStyle w:val="CRCoverPage"/>
              <w:spacing w:after="0"/>
              <w:ind w:left="100"/>
              <w:rPr>
                <w:rFonts w:cs="Times"/>
              </w:rPr>
            </w:pPr>
          </w:p>
          <w:p w14:paraId="708AA7DE" w14:textId="0BCD2BF3" w:rsidR="001E41F3" w:rsidRDefault="00516AF5" w:rsidP="00516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Times"/>
              </w:rPr>
              <w:t xml:space="preserve">The corresponding </w:t>
            </w:r>
            <w:proofErr w:type="spellStart"/>
            <w:r>
              <w:rPr>
                <w:rFonts w:cs="Times"/>
              </w:rPr>
              <w:t>behaivor</w:t>
            </w:r>
            <w:proofErr w:type="spellEnd"/>
            <w:r>
              <w:rPr>
                <w:rFonts w:cs="Times"/>
              </w:rPr>
              <w:t xml:space="preserve"> for PDCCH monitoring should be clarified in specification. </w:t>
            </w:r>
          </w:p>
        </w:tc>
      </w:tr>
      <w:tr w:rsidR="001E41F3" w14:paraId="4CA74D09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49F7E9" w:rsidR="00FE00C3" w:rsidRDefault="00A800F8" w:rsidP="00655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 to clause 10.1 for </w:t>
            </w:r>
            <w:r>
              <w:rPr>
                <w:rFonts w:hint="eastAsia"/>
                <w:noProof/>
                <w:lang w:eastAsia="zh-CN"/>
              </w:rPr>
              <w:t>PDCCH</w:t>
            </w:r>
            <w:r>
              <w:rPr>
                <w:noProof/>
              </w:rPr>
              <w:t xml:space="preserve"> monitoring if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w:rPr>
                  <w:rFonts w:ascii="Cambria Math" w:hAnsi="Cambria Math" w:cs="Times"/>
                </w:rPr>
                <m:t>&gt;</m:t>
              </m:r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</m:oMath>
          </w:p>
        </w:tc>
      </w:tr>
      <w:tr w:rsidR="001E41F3" w14:paraId="1F886379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B3BF9">
        <w:tc>
          <w:tcPr>
            <w:tcW w:w="26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84430" w:rsidR="001E41F3" w:rsidRDefault="00A80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PDCCH monitoring for P(S)Cell in case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w:rPr>
                  <w:rFonts w:ascii="Cambria Math" w:hAnsi="Cambria Math" w:cs="Times"/>
                </w:rPr>
                <m:t>≤</m:t>
              </m:r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</m:oMath>
            <w:r w:rsidR="000F1793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for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w:rPr>
                  <w:rFonts w:ascii="Cambria Math" w:hAnsi="Cambria Math" w:cs="Times"/>
                </w:rPr>
                <m:t>&gt;</m:t>
              </m:r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</m:oMath>
            <w:r w:rsidR="000F1793">
              <w:rPr>
                <w:noProof/>
              </w:rPr>
              <w:t xml:space="preserve"> </w:t>
            </w:r>
            <w:r>
              <w:rPr>
                <w:noProof/>
              </w:rPr>
              <w:t>are not complete</w:t>
            </w:r>
          </w:p>
        </w:tc>
      </w:tr>
      <w:tr w:rsidR="001E41F3" w14:paraId="034AF533" w14:textId="77777777" w:rsidTr="008B3BF9">
        <w:tc>
          <w:tcPr>
            <w:tcW w:w="2658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B3BF9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96C71" w:rsidR="001E41F3" w:rsidRDefault="00A80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</w:t>
            </w:r>
          </w:p>
        </w:tc>
      </w:tr>
      <w:tr w:rsidR="001E41F3" w14:paraId="56E1E6C3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B2811" w:rsidR="001E41F3" w:rsidRDefault="008B3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D0A31" w:rsidR="001E41F3" w:rsidRDefault="008B3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CB092" w:rsidR="001E41F3" w:rsidRDefault="008B3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B3BF9">
        <w:tc>
          <w:tcPr>
            <w:tcW w:w="26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EFD91" w14:textId="77777777" w:rsidR="00C66003" w:rsidRPr="00AB1C97" w:rsidRDefault="00C66003" w:rsidP="00C6600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B1C97">
              <w:rPr>
                <w:noProof/>
                <w:u w:val="single"/>
              </w:rPr>
              <w:t>Isolated Impact Analysis:</w:t>
            </w:r>
          </w:p>
          <w:p w14:paraId="178FDE25" w14:textId="77777777" w:rsidR="009957D0" w:rsidRDefault="00631E13" w:rsidP="00631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UE that have not implementing the change, connected to gNB that have implemented the change, could result in different understnaing </w:t>
            </w:r>
            <w:r w:rsidR="00E254EC">
              <w:rPr>
                <w:noProof/>
              </w:rPr>
              <w:t xml:space="preserve">on handling the active BWPs with different SCSs </w:t>
            </w:r>
            <w:r w:rsidR="009957D0">
              <w:rPr>
                <w:noProof/>
              </w:rPr>
              <w:t>for</w:t>
            </w:r>
            <w:r>
              <w:rPr>
                <w:noProof/>
              </w:rPr>
              <w:t xml:space="preserve"> the UE and gNB</w:t>
            </w:r>
            <w:r w:rsidR="009957D0">
              <w:rPr>
                <w:noProof/>
              </w:rPr>
              <w:t xml:space="preserve">, which can result in failture in transmission. </w:t>
            </w:r>
          </w:p>
          <w:p w14:paraId="00D3B8F7" w14:textId="79A24429" w:rsidR="00631E13" w:rsidRDefault="009957D0" w:rsidP="00307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UE that have implemented the change, connected to gNB that have not implemented change,</w:t>
            </w:r>
            <w:r w:rsidR="00215F7A">
              <w:rPr>
                <w:noProof/>
              </w:rPr>
              <w:t xml:space="preserve"> </w:t>
            </w:r>
            <w:r w:rsidR="000C1546">
              <w:rPr>
                <w:noProof/>
              </w:rPr>
              <w:t xml:space="preserve">could result in different understnaing on handling the </w:t>
            </w:r>
            <w:r w:rsidR="000C1546">
              <w:rPr>
                <w:noProof/>
              </w:rPr>
              <w:lastRenderedPageBreak/>
              <w:t>active BWPs with different SCSs for the UE and gNB, which can result in failture in transmission.</w:t>
            </w:r>
          </w:p>
        </w:tc>
      </w:tr>
      <w:tr w:rsidR="008863B9" w:rsidRPr="008863B9" w14:paraId="45BFE792" w14:textId="77777777" w:rsidTr="008B3BF9"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B3BF9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57AEFB" w14:textId="77777777" w:rsidR="00C23ABC" w:rsidRPr="00B916EC" w:rsidRDefault="00C23ABC" w:rsidP="00C23ABC">
      <w:pPr>
        <w:pStyle w:val="Heading3"/>
      </w:pPr>
      <w:bookmarkStart w:id="1" w:name="_Toc83289682"/>
      <w:bookmarkStart w:id="2" w:name="_Toc106629458"/>
      <w:r>
        <w:lastRenderedPageBreak/>
        <w:t>10</w:t>
      </w:r>
      <w:r w:rsidRPr="00B916EC">
        <w:t>.</w:t>
      </w:r>
      <w:r>
        <w:t>1</w:t>
      </w:r>
      <w:r w:rsidRPr="00B916EC">
        <w:t>.</w:t>
      </w:r>
      <w:r>
        <w:t>1</w:t>
      </w:r>
      <w:r w:rsidRPr="00B916EC">
        <w:tab/>
      </w:r>
      <w:bookmarkEnd w:id="1"/>
      <w:r>
        <w:t>Self-carrier and cross-carrier scheduling on the primary cell</w:t>
      </w:r>
      <w:bookmarkEnd w:id="2"/>
    </w:p>
    <w:p w14:paraId="0CE08949" w14:textId="77777777" w:rsidR="00C23ABC" w:rsidRDefault="00C23ABC" w:rsidP="00C23ABC">
      <w:pPr>
        <w:rPr>
          <w:rFonts w:cs="Times"/>
        </w:rPr>
      </w:pPr>
      <w:r>
        <w:rPr>
          <w:noProof/>
          <w:lang w:eastAsia="zh-CN"/>
        </w:rPr>
        <w:t xml:space="preserve">A UE can be configured for scheduling on the primary cell from the primary cell and from a secondary cell [12, TS 38.331]. The UE is either not provided </w:t>
      </w:r>
      <w:proofErr w:type="spellStart"/>
      <w:r w:rsidRPr="001B2B2C">
        <w:rPr>
          <w:i/>
        </w:rPr>
        <w:t>monitoringCapabilityConfig</w:t>
      </w:r>
      <w:proofErr w:type="spellEnd"/>
      <w:r>
        <w:rPr>
          <w:iCs/>
        </w:rPr>
        <w:t xml:space="preserve"> or the UE is </w:t>
      </w:r>
      <w:r>
        <w:rPr>
          <w:noProof/>
          <w:lang w:eastAsia="zh-CN"/>
        </w:rPr>
        <w:t xml:space="preserve">provided only </w:t>
      </w:r>
      <w:proofErr w:type="spellStart"/>
      <w:r w:rsidRPr="001B2B2C">
        <w:rPr>
          <w:i/>
        </w:rPr>
        <w:t>monitoringCapabilityConfig</w:t>
      </w:r>
      <w:proofErr w:type="spellEnd"/>
      <w:r>
        <w:rPr>
          <w:i/>
        </w:rPr>
        <w:t xml:space="preserve"> </w:t>
      </w:r>
      <w:r>
        <w:t xml:space="preserve">= </w:t>
      </w:r>
      <w:r>
        <w:rPr>
          <w:i/>
        </w:rPr>
        <w:t>r15monitoringcapability</w:t>
      </w:r>
      <w:r>
        <w:rPr>
          <w:iCs/>
        </w:rPr>
        <w:t xml:space="preserve"> for </w:t>
      </w:r>
      <w:r>
        <w:rPr>
          <w:noProof/>
          <w:lang w:eastAsia="zh-CN"/>
        </w:rPr>
        <w:t>the primary cell and for the secondary cell</w:t>
      </w:r>
      <w:r w:rsidRPr="006125A0">
        <w:rPr>
          <w:rFonts w:cs="Times"/>
        </w:rPr>
        <w:t>.</w:t>
      </w:r>
      <w:r>
        <w:rPr>
          <w:rFonts w:cs="Times"/>
        </w:rPr>
        <w:t xml:space="preserve"> The UE is not provided </w:t>
      </w:r>
      <w:r>
        <w:rPr>
          <w:i/>
          <w:iCs/>
          <w:lang w:val="en-US"/>
        </w:rPr>
        <w:t>coreset</w:t>
      </w:r>
      <w:proofErr w:type="spellStart"/>
      <w:r w:rsidRPr="000734F6">
        <w:rPr>
          <w:i/>
          <w:iCs/>
        </w:rPr>
        <w:t>PoolIndex</w:t>
      </w:r>
      <w:proofErr w:type="spellEnd"/>
      <w:r>
        <w:rPr>
          <w:lang w:val="en-US"/>
        </w:rPr>
        <w:t xml:space="preserve"> on the primary cell or on the secondary cell.</w:t>
      </w:r>
    </w:p>
    <w:p w14:paraId="1CFF6E8B" w14:textId="1C74C97A" w:rsidR="00C23ABC" w:rsidRPr="00076B4A" w:rsidRDefault="00C23ABC" w:rsidP="00C23ABC">
      <w:pPr>
        <w:rPr>
          <w:iCs/>
          <w:noProof/>
          <w:lang w:eastAsia="zh-CN"/>
        </w:rPr>
      </w:pPr>
      <w:r>
        <w:rPr>
          <w:rFonts w:cs="Times"/>
        </w:rPr>
        <w:t xml:space="preserve">The SCS configuration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r>
              <w:rPr>
                <w:rFonts w:ascii="Cambria Math" w:hAnsi="Cambria Math" w:cs="Times"/>
              </w:rPr>
              <m:t>μ</m:t>
            </m:r>
          </m:e>
          <m:sub>
            <m:r>
              <w:rPr>
                <w:rFonts w:ascii="Cambria Math" w:hAnsi="Cambria Math" w:cs="Times"/>
              </w:rPr>
              <m:t>P</m:t>
            </m:r>
          </m:sub>
        </m:sSub>
      </m:oMath>
      <w:r>
        <w:rPr>
          <w:rFonts w:cs="Times"/>
        </w:rPr>
        <w:t xml:space="preserve"> for the active DL BWP on the primary cell is smaller than or equal to the SCS configuration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r>
              <w:rPr>
                <w:rFonts w:ascii="Cambria Math" w:hAnsi="Cambria Math" w:cs="Times"/>
              </w:rPr>
              <m:t>μ</m:t>
            </m:r>
          </m:e>
          <m:sub>
            <m:r>
              <w:rPr>
                <w:rFonts w:ascii="Cambria Math" w:hAnsi="Cambria Math" w:cs="Times"/>
              </w:rPr>
              <m:t>S</m:t>
            </m:r>
          </m:sub>
        </m:sSub>
      </m:oMath>
      <w:r>
        <w:rPr>
          <w:rFonts w:cs="Times"/>
        </w:rPr>
        <w:t xml:space="preserve"> for the active DL BWP on the secondary cell.</w:t>
      </w:r>
      <w:r w:rsidR="00516AF5">
        <w:rPr>
          <w:rFonts w:cs="Times"/>
        </w:rPr>
        <w:t xml:space="preserve"> </w:t>
      </w:r>
      <w:r w:rsidR="00516AF5" w:rsidRPr="006171D6">
        <w:rPr>
          <w:rFonts w:cs="Times"/>
          <w:color w:val="FF0000"/>
          <w:u w:val="single"/>
        </w:rPr>
        <w:t xml:space="preserve">Otherwise, </w:t>
      </w:r>
      <w:r w:rsidR="00516AF5">
        <w:rPr>
          <w:rFonts w:cs="Times"/>
          <w:color w:val="FF0000"/>
          <w:u w:val="single"/>
        </w:rPr>
        <w:t>t</w:t>
      </w:r>
      <w:r w:rsidR="00516AF5" w:rsidRPr="006171D6">
        <w:rPr>
          <w:rFonts w:cs="Times"/>
          <w:color w:val="FF0000"/>
          <w:u w:val="single"/>
        </w:rPr>
        <w:t>he procedures are as described in clause 10.1</w:t>
      </w:r>
      <w:r w:rsidR="00516AF5">
        <w:rPr>
          <w:rFonts w:cs="Times"/>
          <w:color w:val="FF0000"/>
          <w:u w:val="single"/>
        </w:rPr>
        <w:t xml:space="preserve"> applies</w:t>
      </w:r>
      <w:r w:rsidR="00516AF5" w:rsidRPr="006171D6">
        <w:rPr>
          <w:rFonts w:cs="Times"/>
          <w:color w:val="FF0000"/>
          <w:u w:val="single"/>
        </w:rPr>
        <w:t>.</w:t>
      </w:r>
    </w:p>
    <w:p w14:paraId="0E4086BE" w14:textId="77777777" w:rsidR="00C23ABC" w:rsidRDefault="00C23ABC" w:rsidP="00C23ABC">
      <w:r>
        <w:t>If a</w:t>
      </w:r>
      <w:r w:rsidRPr="003C088C">
        <w:t xml:space="preserve"> UE </w:t>
      </w:r>
      <w:r>
        <w:t xml:space="preserve">indicates capability &lt;FG 34-3&gt; </w:t>
      </w:r>
      <w:r w:rsidRPr="003C088C">
        <w:t>[18, TS 38.306] and the secondar</w:t>
      </w:r>
      <w:r>
        <w:t>y cell is deactivated, or if the</w:t>
      </w:r>
      <w:r w:rsidRPr="003C088C">
        <w:t xml:space="preserve"> UE indicates capability &lt;FG 34-4&gt; [18, TS 38.306] and the active DL BWP of the secondary cell is a dormant DL BWP for the </w:t>
      </w:r>
      <w:r>
        <w:t xml:space="preserve">UE, </w:t>
      </w:r>
      <m:oMath>
        <m:r>
          <w:rPr>
            <w:rFonts w:ascii="Cambria Math" w:hAnsi="Cambria Math"/>
          </w:rPr>
          <m:t>α=1</m:t>
        </m:r>
      </m:oMath>
      <w:r w:rsidRPr="003C088C">
        <w:t xml:space="preserve"> </w:t>
      </w:r>
      <w:r>
        <w:t>applies</w:t>
      </w:r>
      <w:r w:rsidRPr="003C088C">
        <w:t xml:space="preserve"> for the procedures described in </w:t>
      </w:r>
      <w:r>
        <w:t xml:space="preserve">the </w:t>
      </w:r>
      <w:r w:rsidRPr="003C088C">
        <w:t>remaining of this clause.</w:t>
      </w:r>
      <w:r>
        <w:t xml:space="preserve"> </w:t>
      </w:r>
      <w:r w:rsidRPr="00400626"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400626">
        <w:t xml:space="preserve">, the UE determines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 w:rsidRPr="00400626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>
        <w:t>,</w:t>
      </w:r>
      <w:r w:rsidRPr="00400626">
        <w:t xml:space="preserve"> </w:t>
      </w:r>
      <w:r>
        <w:t xml:space="preserve">and determines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 w:rsidRPr="00400626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>
        <w:t>,</w:t>
      </w:r>
      <w:r w:rsidRPr="00400626">
        <w:t xml:space="preserve"> by </w:t>
      </w:r>
      <w:r>
        <w:t>including</w:t>
      </w:r>
      <w:r w:rsidRPr="00400626">
        <w:t xml:space="preserve"> the</w:t>
      </w:r>
      <w:r>
        <w:t xml:space="preserve"> primary cell only in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>
        <w:t xml:space="preserve"> downlink cells in </w:t>
      </w:r>
      <m:oMath>
        <m:nary>
          <m:naryPr>
            <m:chr m:val="∑"/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 w:cs="Calibri"/>
                <w:sz w:val="22"/>
                <w:szCs w:val="22"/>
              </w:rPr>
              <m:t>j=0</m:t>
            </m:r>
          </m:sub>
          <m:sup>
            <m:r>
              <w:rPr>
                <w:rFonts w:ascii="Cambria Math" w:hAnsi="Cambria Math" w:cs="Calibri"/>
                <w:sz w:val="22"/>
                <w:szCs w:val="22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cells,0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DL,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 w:cstheme="minorHAnsi"/>
                  </w:rPr>
                  <m:t>γ</m:t>
                </m:r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cells,1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DL,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</m:oMath>
      <w:r>
        <w:t xml:space="preserve">, as described in clause 10.1. </w:t>
      </w:r>
      <w:r w:rsidRPr="00400626"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=μ</m:t>
        </m:r>
      </m:oMath>
      <w:r w:rsidRPr="00400626">
        <w:t xml:space="preserve">, the UE determines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400626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400626">
        <w:t xml:space="preserve"> by</w:t>
      </w:r>
      <w:r>
        <w:t xml:space="preserve"> </w:t>
      </w:r>
      <w:r w:rsidRPr="00400626">
        <w:t>including the</w:t>
      </w:r>
      <w:r>
        <w:t xml:space="preserve"> primary cell once in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downlink cells in </w:t>
      </w:r>
      <m:oMath>
        <m:nary>
          <m:naryPr>
            <m:chr m:val="∑"/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 w:cs="Calibri"/>
                <w:sz w:val="22"/>
                <w:szCs w:val="22"/>
              </w:rPr>
              <m:t>j=0</m:t>
            </m:r>
          </m:sub>
          <m:sup>
            <m:r>
              <w:rPr>
                <w:rFonts w:ascii="Cambria Math" w:hAnsi="Cambria Math" w:cs="Calibri"/>
                <w:sz w:val="22"/>
                <w:szCs w:val="22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cells,0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DL,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 w:cstheme="minorHAnsi"/>
                  </w:rPr>
                  <m:t>γ</m:t>
                </m:r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cells,1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DL,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</m:oMath>
      <w:r>
        <w:t>, as described in clause 10.1.</w:t>
      </w:r>
    </w:p>
    <w:p w14:paraId="5C7DDBFF" w14:textId="77777777" w:rsidR="00C23ABC" w:rsidRDefault="00C23ABC" w:rsidP="00C23ABC">
      <w:pPr>
        <w:rPr>
          <w:rFonts w:eastAsia="DengXian"/>
        </w:rPr>
      </w:pPr>
      <w:r>
        <w:t>For scheduling on the primary cell from the primary cell, t</w:t>
      </w:r>
      <w:r w:rsidRPr="00BC34FF">
        <w:t xml:space="preserve">he UE is not required to monitor more than </w:t>
      </w:r>
      <m:oMath>
        <m:d>
          <m:dPr>
            <m:begChr m:val="⌊"/>
            <m:endChr m:val="⌋"/>
            <m:ctrlPr>
              <w:rPr>
                <w:rFonts w:ascii="Cambria Math" w:eastAsia="DengXian" w:hAnsi="Cambria Math"/>
                <w:i/>
                <w:szCs w:val="18"/>
              </w:rPr>
            </m:ctrlPr>
          </m:dPr>
          <m:e>
            <m:r>
              <w:rPr>
                <w:rFonts w:ascii="Cambria Math" w:eastAsia="DengXian" w:hAnsi="Cambria Math"/>
                <w:szCs w:val="18"/>
              </w:rPr>
              <m:t>α</m:t>
            </m:r>
            <m:r>
              <w:rPr>
                <w:rFonts w:ascii="Cambria Math" w:hAnsi="Cambria Math"/>
              </w:rPr>
              <m:t>∙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max,slot,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total,slot,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e>
            </m:func>
          </m:e>
        </m:d>
        <m:r>
          <w:rPr>
            <w:rFonts w:ascii="Cambria Math" w:eastAsia="DengXian" w:hAnsi="Cambria Math"/>
            <w:szCs w:val="18"/>
          </w:rPr>
          <m:t xml:space="preserve"> </m:t>
        </m:r>
      </m:oMath>
      <w:r w:rsidRPr="00BC34FF">
        <w:rPr>
          <w:rFonts w:eastAsia="DengXian"/>
        </w:rPr>
        <w:t xml:space="preserve"> PDCCH candidates </w:t>
      </w:r>
      <w:r>
        <w:rPr>
          <w:rFonts w:eastAsia="DengXian"/>
        </w:rPr>
        <w:t>per</w:t>
      </w:r>
      <w:r w:rsidRPr="00BC34FF">
        <w:rPr>
          <w:rFonts w:eastAsia="DengXian"/>
        </w:rPr>
        <w:t xml:space="preserve"> slot</w:t>
      </w:r>
      <w:r>
        <w:rPr>
          <w:rFonts w:eastAsia="DengXian"/>
        </w:rPr>
        <w:t xml:space="preserve"> or more than </w:t>
      </w:r>
      <m:oMath>
        <m:d>
          <m:dPr>
            <m:begChr m:val="⌊"/>
            <m:endChr m:val="⌋"/>
            <m:ctrlPr>
              <w:rPr>
                <w:rFonts w:ascii="Cambria Math" w:eastAsia="DengXian" w:hAnsi="Cambria Math"/>
                <w:i/>
                <w:szCs w:val="18"/>
              </w:rPr>
            </m:ctrlPr>
          </m:dPr>
          <m:e>
            <m:r>
              <w:rPr>
                <w:rFonts w:ascii="Cambria Math" w:eastAsia="DengXian" w:hAnsi="Cambria Math"/>
                <w:szCs w:val="18"/>
              </w:rPr>
              <m:t>α</m:t>
            </m:r>
            <m:r>
              <w:rPr>
                <w:rFonts w:ascii="Cambria Math" w:hAnsi="Cambria Math"/>
              </w:rPr>
              <m:t>∙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max,slot,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total,slot,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>
        <w:rPr>
          <w:rFonts w:eastAsia="DengXian"/>
        </w:rPr>
        <w:t xml:space="preserve"> non-overlapping CCEs per slot on the active DL BWP of the primary cell, where</w:t>
      </w:r>
      <w:r>
        <w:rPr>
          <w:rFonts w:eastAsia="DengXian"/>
          <w:szCs w:val="18"/>
        </w:rPr>
        <w:t xml:space="preserve"> </w:t>
      </w:r>
      <m:oMath>
        <m:r>
          <w:rPr>
            <w:rFonts w:ascii="Cambria Math" w:eastAsia="DengXian" w:hAnsi="Cambria Math"/>
            <w:szCs w:val="18"/>
          </w:rPr>
          <m:t>α</m:t>
        </m:r>
      </m:oMath>
      <w:r>
        <w:rPr>
          <w:rFonts w:eastAsia="DengXian"/>
          <w:szCs w:val="18"/>
        </w:rPr>
        <w:t xml:space="preserve"> is provided by </w:t>
      </w:r>
      <w:r w:rsidRPr="00AD6F32">
        <w:rPr>
          <w:rFonts w:eastAsia="DengXian"/>
          <w:i/>
          <w:iCs/>
          <w:szCs w:val="18"/>
        </w:rPr>
        <w:t>ccs-</w:t>
      </w:r>
      <w:proofErr w:type="spellStart"/>
      <w:r w:rsidRPr="00AD6F32">
        <w:rPr>
          <w:rFonts w:eastAsia="DengXian"/>
          <w:i/>
          <w:iCs/>
          <w:szCs w:val="18"/>
        </w:rPr>
        <w:t>BlindDetectionSplit</w:t>
      </w:r>
      <w:proofErr w:type="spellEnd"/>
      <w:r>
        <w:rPr>
          <w:rFonts w:eastAsia="DengXian"/>
        </w:rPr>
        <w:t>.</w:t>
      </w:r>
    </w:p>
    <w:p w14:paraId="636DAF95" w14:textId="77777777" w:rsidR="00C23ABC" w:rsidRDefault="00C23ABC" w:rsidP="00C23ABC">
      <w:r>
        <w:t>For scheduling on the primary cell from the secondary cell, t</w:t>
      </w:r>
      <w:r w:rsidRPr="00BC34FF">
        <w:t xml:space="preserve">he UE is not required to monitor </w:t>
      </w:r>
      <w:r>
        <w:rPr>
          <w:rFonts w:eastAsia="DengXian"/>
        </w:rPr>
        <w:t>on the active DL BWP of the secondary cell</w:t>
      </w:r>
      <w:r w:rsidRPr="00BC34FF">
        <w:t xml:space="preserve"> more than</w:t>
      </w:r>
    </w:p>
    <w:p w14:paraId="01F5E131" w14:textId="77777777" w:rsidR="00C23ABC" w:rsidRPr="00D57681" w:rsidRDefault="00C23ABC" w:rsidP="00C23ABC">
      <w:pPr>
        <w:pStyle w:val="B1"/>
        <w:spacing w:after="240"/>
        <w:rPr>
          <w:rFonts w:eastAsia="DengXian"/>
          <w:lang w:val="en-US"/>
        </w:rPr>
      </w:pPr>
      <w:r w:rsidRPr="00C04B54">
        <w:rPr>
          <w:lang w:val="en-US"/>
        </w:rPr>
        <w:t>-</w:t>
      </w:r>
      <w:r w:rsidRPr="00C04B54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 w:rsidRPr="00BC34FF">
        <w:rPr>
          <w:rFonts w:eastAsia="DengXian"/>
        </w:rPr>
        <w:t xml:space="preserve"> PDCCH candidates </w:t>
      </w:r>
      <w:r>
        <w:rPr>
          <w:rFonts w:eastAsia="DengXian"/>
        </w:rPr>
        <w:t>per</w:t>
      </w:r>
      <w:r w:rsidRPr="00BC34FF">
        <w:rPr>
          <w:rFonts w:eastAsia="DengXian"/>
        </w:rPr>
        <w:t xml:space="preserve"> slot</w:t>
      </w:r>
      <w:r>
        <w:rPr>
          <w:rFonts w:eastAsia="DengXian"/>
        </w:rPr>
        <w:t xml:space="preserve"> or more </w:t>
      </w:r>
      <w:r w:rsidRPr="00BC34FF">
        <w:t xml:space="preserve">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="DengXian"/>
        </w:rPr>
        <w:t xml:space="preserve"> non-overlapping CCEs per slot</w:t>
      </w:r>
      <w:r>
        <w:rPr>
          <w:rFonts w:eastAsia="DengXian"/>
          <w:lang w:val="en-US"/>
        </w:rPr>
        <w:t xml:space="preserve"> of </w:t>
      </w:r>
      <w:r>
        <w:rPr>
          <w:rFonts w:eastAsia="DengXian"/>
        </w:rPr>
        <w:t>the active DL BWP of the secondary cell</w:t>
      </w:r>
    </w:p>
    <w:p w14:paraId="50CCC428" w14:textId="77777777" w:rsidR="00C23ABC" w:rsidRPr="00AD6F32" w:rsidRDefault="00C23ABC" w:rsidP="00C23ABC">
      <w:pPr>
        <w:pStyle w:val="B1"/>
        <w:spacing w:after="240"/>
        <w:rPr>
          <w:rFonts w:eastAsia="DengXian"/>
        </w:rPr>
      </w:pPr>
      <w:r w:rsidRPr="00AD6F32">
        <w:rPr>
          <w:lang w:val="en-US"/>
        </w:rPr>
        <w:t>-</w:t>
      </w:r>
      <w:r w:rsidRPr="00AD6F32"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max,slot,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total,slot,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  <m:r>
          <w:rPr>
            <w:rFonts w:ascii="Cambria Math" w:hAnsi="Cambria Math"/>
          </w:rPr>
          <m:t>-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eastAsia="DengXian" w:hAnsi="Cambria Math"/>
                    <w:szCs w:val="18"/>
                  </w:rPr>
                  <m:t>α</m:t>
                </m:r>
                <m:r>
                  <w:rPr>
                    <w:rFonts w:ascii="Cambria Math" w:hAnsi="Cambria Math"/>
                  </w:rPr>
                  <m:t>∙</m:t>
                </m:r>
                <m:r>
                  <m:rPr>
                    <m:sty m:val="p"/>
                  </m:rPr>
                  <w:rPr>
                    <w:rFonts w:ascii="Cambria Math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max,slot,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total,slot,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 w:rsidRPr="00AD6F32">
        <w:rPr>
          <w:rFonts w:eastAsia="DengXian"/>
        </w:rPr>
        <w:t xml:space="preserve"> PDCCH candidates per slot or more </w:t>
      </w:r>
      <w:r w:rsidRPr="00AD6F32">
        <w:t xml:space="preserve">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max,slot,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total,slot,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  <m:r>
              <w:rPr>
                <w:rFonts w:ascii="Cambria Math" w:hAnsi="Cambria Math"/>
              </w:rPr>
              <m:t>-</m:t>
            </m:r>
          </m:e>
        </m:func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eastAsia="DengXian" w:hAnsi="Cambria Math"/>
                    <w:szCs w:val="18"/>
                  </w:rPr>
                  <m:t>α</m:t>
                </m:r>
                <m:r>
                  <w:rPr>
                    <w:rFonts w:ascii="Cambria Math" w:hAnsi="Cambria Math"/>
                  </w:rPr>
                  <m:t>∙</m:t>
                </m:r>
                <m:r>
                  <m:rPr>
                    <m:sty m:val="p"/>
                  </m:rPr>
                  <w:rPr>
                    <w:rFonts w:ascii="Cambria Math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max,slot,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total,slot,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 w:rsidRPr="00AD6F32">
        <w:rPr>
          <w:rFonts w:eastAsia="DengXian"/>
        </w:rPr>
        <w:t xml:space="preserve"> non-overlapping CCEs per slot </w:t>
      </w:r>
      <w:r w:rsidRPr="00AD6F32">
        <w:rPr>
          <w:rFonts w:eastAsia="DengXian"/>
          <w:lang w:val="en-US"/>
        </w:rPr>
        <w:t xml:space="preserve">of </w:t>
      </w:r>
      <w:r w:rsidRPr="00AD6F32">
        <w:rPr>
          <w:rFonts w:eastAsia="DengXian"/>
        </w:rPr>
        <w:t>the active DL BWP of the primary cell</w:t>
      </w:r>
    </w:p>
    <w:p w14:paraId="5A8E0494" w14:textId="77777777" w:rsidR="00C23ABC" w:rsidRDefault="00C23ABC" w:rsidP="00C23ABC">
      <w:r w:rsidRPr="00400626"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400626">
        <w:t>,</w:t>
      </w:r>
      <w:r>
        <w:t xml:space="preserve"> the UE does not count</w:t>
      </w:r>
      <w:r w:rsidRPr="0009469A">
        <w:rPr>
          <w:rFonts w:eastAsia="DengXian"/>
        </w:rPr>
        <w:t xml:space="preserve"> </w:t>
      </w:r>
      <w:r w:rsidRPr="00BC34FF">
        <w:rPr>
          <w:rFonts w:eastAsia="DengXian"/>
        </w:rPr>
        <w:t>PDCCH candidates</w:t>
      </w:r>
      <w:r>
        <w:rPr>
          <w:rFonts w:eastAsia="DengXian"/>
        </w:rPr>
        <w:t xml:space="preserve"> and non-overlapping CCEs that the UE monitors for scheduling on the primary cell from the secondary cell towards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>
        <w:t>, respectively.</w:t>
      </w:r>
    </w:p>
    <w:p w14:paraId="15528EA4" w14:textId="77777777" w:rsidR="00C23ABC" w:rsidRDefault="00C23ABC" w:rsidP="00C23ABC">
      <w:r w:rsidRPr="00400626"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400626">
        <w:t>,</w:t>
      </w:r>
      <w:r>
        <w:t xml:space="preserve"> the UE counts</w:t>
      </w:r>
      <w:r w:rsidRPr="0009469A">
        <w:rPr>
          <w:rFonts w:eastAsia="DengXian"/>
        </w:rPr>
        <w:t xml:space="preserve"> </w:t>
      </w:r>
      <w:r w:rsidRPr="00BC34FF">
        <w:rPr>
          <w:rFonts w:eastAsia="DengXian"/>
        </w:rPr>
        <w:t>PDCCH candidates</w:t>
      </w:r>
      <w:r>
        <w:rPr>
          <w:rFonts w:eastAsia="DengXian"/>
        </w:rPr>
        <w:t xml:space="preserve"> and non-overlapping CCEs that the UE monitors for scheduling on the primary cell from the secondary cell towards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>
        <w:t>, respectively.</w:t>
      </w:r>
    </w:p>
    <w:p w14:paraId="1B36DA22" w14:textId="77777777" w:rsidR="00C23ABC" w:rsidRPr="00B916EC" w:rsidRDefault="00C23ABC" w:rsidP="00C23ABC">
      <w:r>
        <w:t xml:space="preserve">For allocation of PDCCH candidates and non-overlapping CCEs to search space sets for scheduling on the primary cell from the primary cell, the UE applies the procedure in clause 10.1 using </w:t>
      </w:r>
      <m:oMath>
        <m:d>
          <m:dPr>
            <m:begChr m:val="⌊"/>
            <m:endChr m:val="⌋"/>
            <m:ctrlPr>
              <w:rPr>
                <w:rFonts w:ascii="Cambria Math" w:eastAsia="DengXian" w:hAnsi="Cambria Math"/>
                <w:i/>
                <w:szCs w:val="18"/>
              </w:rPr>
            </m:ctrlPr>
          </m:dPr>
          <m:e>
            <m:r>
              <w:rPr>
                <w:rFonts w:ascii="Cambria Math" w:eastAsia="DengXian" w:hAnsi="Cambria Math"/>
                <w:szCs w:val="18"/>
              </w:rPr>
              <m:t>α</m:t>
            </m:r>
            <m:r>
              <w:rPr>
                <w:rFonts w:ascii="Cambria Math" w:hAnsi="Cambria Math"/>
              </w:rPr>
              <m:t>∙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max,slot,</m:t>
                        </m:r>
                        <m:r>
                          <w:rPr>
                            <w:rFonts w:asci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total,slot,</m:t>
                        </m:r>
                        <m:r>
                          <w:rPr>
                            <w:rFonts w:asci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>
        <w:t xml:space="preserve"> instead of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max,slot,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total,slot,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t xml:space="preserve">, and using </w:t>
      </w:r>
      <m:oMath>
        <m:d>
          <m:dPr>
            <m:begChr m:val="⌊"/>
            <m:endChr m:val="⌋"/>
            <m:ctrlPr>
              <w:rPr>
                <w:rFonts w:ascii="Cambria Math" w:eastAsia="DengXian" w:hAnsi="Cambria Math"/>
                <w:i/>
                <w:szCs w:val="18"/>
              </w:rPr>
            </m:ctrlPr>
          </m:dPr>
          <m:e>
            <m:r>
              <w:rPr>
                <w:rFonts w:ascii="Cambria Math" w:eastAsia="DengXian" w:hAnsi="Cambria Math"/>
                <w:szCs w:val="18"/>
              </w:rPr>
              <m:t>α</m:t>
            </m:r>
            <m:r>
              <w:rPr>
                <w:rFonts w:ascii="Cambria Math" w:hAnsi="Cambria Math"/>
              </w:rPr>
              <m:t>∙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max,slot,</m:t>
                        </m:r>
                        <m:r>
                          <w:rPr>
                            <w:rFonts w:asci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total,slot,</m:t>
                        </m:r>
                        <m:r>
                          <w:rPr>
                            <w:rFonts w:asci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>
        <w:t xml:space="preserve"> instead of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max,slot,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total,slot,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t xml:space="preserve"> for the primary cell.</w:t>
      </w:r>
    </w:p>
    <w:p w14:paraId="04003BAC" w14:textId="0E2901A6" w:rsidR="008B3BF9" w:rsidRPr="00655A73" w:rsidRDefault="00655A73" w:rsidP="00655A73">
      <w:pPr>
        <w:jc w:val="center"/>
        <w:rPr>
          <w:color w:val="FF0000"/>
        </w:rPr>
      </w:pPr>
      <w:r w:rsidRPr="001C7848">
        <w:rPr>
          <w:color w:val="FF0000"/>
        </w:rPr>
        <w:t>&lt;Unchanged Text Omitted&gt;</w:t>
      </w:r>
    </w:p>
    <w:sectPr w:rsidR="008B3BF9" w:rsidRPr="00655A7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3DFFB" w14:textId="77777777" w:rsidR="00813D4B" w:rsidRDefault="00813D4B">
      <w:r>
        <w:separator/>
      </w:r>
    </w:p>
  </w:endnote>
  <w:endnote w:type="continuationSeparator" w:id="0">
    <w:p w14:paraId="4E90717B" w14:textId="77777777" w:rsidR="00813D4B" w:rsidRDefault="00813D4B">
      <w:r>
        <w:continuationSeparator/>
      </w:r>
    </w:p>
  </w:endnote>
  <w:endnote w:type="continuationNotice" w:id="1">
    <w:p w14:paraId="3DE3D1C1" w14:textId="77777777" w:rsidR="00813D4B" w:rsidRDefault="00813D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6EE5A" w14:textId="77777777" w:rsidR="00813D4B" w:rsidRDefault="00813D4B">
      <w:r>
        <w:separator/>
      </w:r>
    </w:p>
  </w:footnote>
  <w:footnote w:type="continuationSeparator" w:id="0">
    <w:p w14:paraId="140EEA95" w14:textId="77777777" w:rsidR="00813D4B" w:rsidRDefault="00813D4B">
      <w:r>
        <w:continuationSeparator/>
      </w:r>
    </w:p>
  </w:footnote>
  <w:footnote w:type="continuationNotice" w:id="1">
    <w:p w14:paraId="022B9350" w14:textId="77777777" w:rsidR="00813D4B" w:rsidRDefault="00813D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F967F8"/>
    <w:multiLevelType w:val="hybridMultilevel"/>
    <w:tmpl w:val="A8960294"/>
    <w:lvl w:ilvl="0" w:tplc="F4CCCA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546"/>
    <w:rsid w:val="000C6598"/>
    <w:rsid w:val="000D44B3"/>
    <w:rsid w:val="000F1793"/>
    <w:rsid w:val="00122F34"/>
    <w:rsid w:val="00145D43"/>
    <w:rsid w:val="00192C46"/>
    <w:rsid w:val="001A08B3"/>
    <w:rsid w:val="001A2CA0"/>
    <w:rsid w:val="001A7B60"/>
    <w:rsid w:val="001B52F0"/>
    <w:rsid w:val="001B7A65"/>
    <w:rsid w:val="001E41F3"/>
    <w:rsid w:val="00215F7A"/>
    <w:rsid w:val="0026004D"/>
    <w:rsid w:val="002640DD"/>
    <w:rsid w:val="00275D12"/>
    <w:rsid w:val="00284FEB"/>
    <w:rsid w:val="002860C4"/>
    <w:rsid w:val="002A5242"/>
    <w:rsid w:val="002B5741"/>
    <w:rsid w:val="002E472E"/>
    <w:rsid w:val="00305409"/>
    <w:rsid w:val="00307EC2"/>
    <w:rsid w:val="003609EF"/>
    <w:rsid w:val="0036231A"/>
    <w:rsid w:val="00374DD4"/>
    <w:rsid w:val="00396BD8"/>
    <w:rsid w:val="003C0768"/>
    <w:rsid w:val="003E1A36"/>
    <w:rsid w:val="00410371"/>
    <w:rsid w:val="004242F1"/>
    <w:rsid w:val="0043559E"/>
    <w:rsid w:val="004B75B7"/>
    <w:rsid w:val="0051580D"/>
    <w:rsid w:val="00516AF5"/>
    <w:rsid w:val="00525CAF"/>
    <w:rsid w:val="00547111"/>
    <w:rsid w:val="00592D74"/>
    <w:rsid w:val="005E2C44"/>
    <w:rsid w:val="00621188"/>
    <w:rsid w:val="006257ED"/>
    <w:rsid w:val="00631E13"/>
    <w:rsid w:val="00655A73"/>
    <w:rsid w:val="00665C47"/>
    <w:rsid w:val="00686A38"/>
    <w:rsid w:val="006939CA"/>
    <w:rsid w:val="00695808"/>
    <w:rsid w:val="006B46FB"/>
    <w:rsid w:val="006C657A"/>
    <w:rsid w:val="006E21FB"/>
    <w:rsid w:val="006E7026"/>
    <w:rsid w:val="007176FF"/>
    <w:rsid w:val="00792342"/>
    <w:rsid w:val="007977A8"/>
    <w:rsid w:val="007B512A"/>
    <w:rsid w:val="007C2097"/>
    <w:rsid w:val="007C7801"/>
    <w:rsid w:val="007D6A07"/>
    <w:rsid w:val="007F7259"/>
    <w:rsid w:val="008040A8"/>
    <w:rsid w:val="00813D4B"/>
    <w:rsid w:val="008279FA"/>
    <w:rsid w:val="008626E7"/>
    <w:rsid w:val="00870EE7"/>
    <w:rsid w:val="008863B9"/>
    <w:rsid w:val="008A45A6"/>
    <w:rsid w:val="008B3BF9"/>
    <w:rsid w:val="008F3789"/>
    <w:rsid w:val="008F686C"/>
    <w:rsid w:val="009148DE"/>
    <w:rsid w:val="00941E30"/>
    <w:rsid w:val="00976EE2"/>
    <w:rsid w:val="009777D9"/>
    <w:rsid w:val="00991B88"/>
    <w:rsid w:val="009957D0"/>
    <w:rsid w:val="009A5753"/>
    <w:rsid w:val="009A579D"/>
    <w:rsid w:val="009B5963"/>
    <w:rsid w:val="009E3297"/>
    <w:rsid w:val="009F734F"/>
    <w:rsid w:val="00A246B6"/>
    <w:rsid w:val="00A47E70"/>
    <w:rsid w:val="00A50CF0"/>
    <w:rsid w:val="00A7671C"/>
    <w:rsid w:val="00A800F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3F0"/>
    <w:rsid w:val="00C23ABC"/>
    <w:rsid w:val="00C66003"/>
    <w:rsid w:val="00C66BA2"/>
    <w:rsid w:val="00C95985"/>
    <w:rsid w:val="00CC5026"/>
    <w:rsid w:val="00CC68D0"/>
    <w:rsid w:val="00CF20ED"/>
    <w:rsid w:val="00D03F9A"/>
    <w:rsid w:val="00D06D51"/>
    <w:rsid w:val="00D24991"/>
    <w:rsid w:val="00D50255"/>
    <w:rsid w:val="00D66520"/>
    <w:rsid w:val="00DD1723"/>
    <w:rsid w:val="00DE34CF"/>
    <w:rsid w:val="00E13F3D"/>
    <w:rsid w:val="00E254EC"/>
    <w:rsid w:val="00E34898"/>
    <w:rsid w:val="00E84C7E"/>
    <w:rsid w:val="00EB09B7"/>
    <w:rsid w:val="00EC60FC"/>
    <w:rsid w:val="00EE7D7C"/>
    <w:rsid w:val="00F1078F"/>
    <w:rsid w:val="00F25D98"/>
    <w:rsid w:val="00F300FB"/>
    <w:rsid w:val="00FB6386"/>
    <w:rsid w:val="00FE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8B3B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B3BF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C23A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2B18C14D-943C-40C6-9006-4ACF08B731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DC35F5-8704-4EBA-9D02-35F34CC90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6BCB9C-771C-4301-BBA8-4F94FB0D51CB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994</Words>
  <Characters>5671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Li, Yingyang</cp:lastModifiedBy>
  <cp:revision>5</cp:revision>
  <cp:lastPrinted>1900-01-01T08:00:00Z</cp:lastPrinted>
  <dcterms:created xsi:type="dcterms:W3CDTF">2022-09-25T06:41:00Z</dcterms:created>
  <dcterms:modified xsi:type="dcterms:W3CDTF">2022-09-30T12:00:00Z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0x010100E0B0DDEA5689E843A77FF07E023D2573</vt:lpwstr>
  </property>
  <property fmtid="{D5CDD505-2E9C-101B-9397-08002B2CF9AE}" pid="22" name="MediaServiceImageTags">
    <vt:lpwstr/>
  </property>
</Properties>
</file>